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360" w:after="80"/>
      </w:pPr>
      <w:r>
        <w:rPr>
          <w:rFonts w:ascii="Calibri" w:hAnsi="Calibri"/>
          <w:b/>
          <w:color w:val="2E74B5"/>
          <w:sz w:val="20"/>
        </w:rPr>
        <w:t>DOKUMENT DLA SERWISU WWW</w:t>
      </w:r>
    </w:p>
    <w:p>
      <w:pPr>
        <w:widowControl/>
        <w:spacing w:before="0" w:after="40"/>
      </w:pPr>
      <w:r>
        <w:rPr>
          <w:rFonts w:ascii="Calibri" w:hAnsi="Calibri"/>
          <w:b/>
          <w:color w:val="0B2545"/>
          <w:sz w:val="54"/>
        </w:rPr>
        <w:t>POLITYKA PRYWATNOŚCI</w:t>
      </w:r>
    </w:p>
    <w:p>
      <w:pPr>
        <w:widowControl/>
        <w:spacing w:before="0" w:after="280"/>
      </w:pPr>
      <w:r>
        <w:rPr>
          <w:rFonts w:ascii="Calibri" w:hAnsi="Calibri"/>
          <w:color w:val="1F4D78"/>
          <w:sz w:val="30"/>
        </w:rPr>
        <w:t>serwisu spektra.net.pl</w:t>
      </w:r>
    </w:p>
    <w:p>
      <w:pPr>
        <w:widowControl/>
        <w:spacing w:before="0" w:after="40"/>
      </w:pPr>
      <w:r>
        <w:rPr>
          <w:rFonts w:ascii="Calibri" w:hAnsi="Calibri"/>
          <w:b/>
          <w:color w:val="0B2545"/>
          <w:sz w:val="22"/>
        </w:rPr>
        <w:t xml:space="preserve">Administrator: </w:t>
      </w:r>
      <w:r>
        <w:rPr>
          <w:rFonts w:ascii="Calibri" w:hAnsi="Calibri"/>
          <w:color w:val="253142"/>
          <w:sz w:val="22"/>
        </w:rPr>
        <w:t>SPEKTRA Maciej Kocoń</w:t>
      </w:r>
    </w:p>
    <w:p>
      <w:pPr>
        <w:widowControl/>
        <w:spacing w:before="0" w:after="40"/>
      </w:pPr>
      <w:r>
        <w:rPr>
          <w:rFonts w:ascii="Calibri" w:hAnsi="Calibri"/>
          <w:b/>
          <w:color w:val="0B2545"/>
          <w:sz w:val="22"/>
        </w:rPr>
        <w:t xml:space="preserve">Kontakt: </w:t>
      </w:r>
      <w:r>
        <w:rPr>
          <w:rFonts w:ascii="Calibri" w:hAnsi="Calibri"/>
          <w:color w:val="253142"/>
          <w:sz w:val="22"/>
        </w:rPr>
        <w:t>biuro@spektra.net.pl  |  505 127 025</w:t>
      </w:r>
    </w:p>
    <w:p>
      <w:pPr>
        <w:widowControl/>
        <w:spacing w:before="0" w:after="40"/>
      </w:pPr>
      <w:r>
        <w:rPr>
          <w:rFonts w:ascii="Calibri" w:hAnsi="Calibri"/>
          <w:b/>
          <w:color w:val="0B2545"/>
          <w:sz w:val="22"/>
        </w:rPr>
        <w:t xml:space="preserve">Siedziba: </w:t>
      </w:r>
      <w:r>
        <w:rPr>
          <w:rFonts w:ascii="Calibri" w:hAnsi="Calibri"/>
          <w:color w:val="253142"/>
          <w:sz w:val="22"/>
        </w:rPr>
        <w:t>Bydgoszcz</w:t>
      </w:r>
    </w:p>
    <w:p>
      <w:pPr>
        <w:widowControl/>
        <w:spacing w:before="0" w:after="40"/>
      </w:pPr>
      <w:r>
        <w:rPr>
          <w:rFonts w:ascii="Calibri" w:hAnsi="Calibri"/>
          <w:b/>
          <w:color w:val="0B2545"/>
          <w:sz w:val="22"/>
        </w:rPr>
        <w:t xml:space="preserve">Wersja: </w:t>
      </w:r>
      <w:r>
        <w:rPr>
          <w:rFonts w:ascii="Calibri" w:hAnsi="Calibri"/>
          <w:color w:val="253142"/>
          <w:sz w:val="22"/>
        </w:rPr>
        <w:t>1.0  |  obowiązuje od 30 sierpnia 2026 r.</w:t>
      </w:r>
    </w:p>
    <w:p>
      <w:pPr>
        <w:spacing w:before="160" w:after="240"/>
        <w:widowControl/>
        <w:pBdr>
          <w:bottom w:val="single" w:sz="14" w:space="8" w:color="2E74B5"/>
        </w:pBdr>
      </w:pPr>
    </w:p>
    <w:p>
      <w:pPr>
        <w:spacing w:before="160" w:after="200"/>
        <w:ind w:left="259" w:right="115"/>
        <w:widowControl/>
        <w:shd w:fill="EAF3FA"/>
      </w:pPr>
      <w:r>
        <w:rPr>
          <w:rFonts w:ascii="Calibri" w:hAnsi="Calibri"/>
          <w:b/>
          <w:color w:val="0B2545"/>
          <w:sz w:val="22"/>
        </w:rPr>
        <w:t xml:space="preserve">Zakres dokumentu.  </w:t>
      </w:r>
      <w:r>
        <w:rPr>
          <w:rFonts w:ascii="Calibri" w:hAnsi="Calibri"/>
          <w:color w:val="0B2545"/>
          <w:sz w:val="22"/>
        </w:rPr>
        <w:t>Polityka dotyczy strony informacyjnej SPEKTRA, formularza zapytania lub wyceny, kontaktu telefonicznego i e-mailowego oraz podstawowych statystyk serwisu bez profilowania reklamowego.</w:t>
      </w:r>
    </w:p>
    <w:p>
      <w:pPr>
        <w:pStyle w:val="Heading1"/>
        <w:keepNext/>
        <w:widowControl/>
      </w:pPr>
      <w:r>
        <w:t>1. Informacje ogólne</w:t>
      </w:r>
    </w:p>
    <w:p>
      <w:pPr>
        <w:widowControl/>
      </w:pPr>
      <w:r>
        <w:rPr>
          <w:rFonts w:ascii="Calibri" w:hAnsi="Calibri"/>
          <w:i w:val="0"/>
          <w:color w:val="000000"/>
          <w:sz w:val="22"/>
        </w:rPr>
        <w:t>Niniejsza polityka wyjaśnia, w jaki sposób SPEKTRA przetwarza dane osobowe osób odwiedzających serwis spektra.net.pl, wysyłających zapytania przez formularz, kontaktujących się telefonicznie lub e-mailowo oraz korzystających z odnośników do profili społecznościowych.</w:t>
      </w:r>
    </w:p>
    <w:p>
      <w:pPr>
        <w:widowControl/>
      </w:pPr>
      <w:r>
        <w:rPr>
          <w:rFonts w:ascii="Calibri" w:hAnsi="Calibri"/>
          <w:i w:val="0"/>
          <w:color w:val="000000"/>
          <w:sz w:val="22"/>
        </w:rPr>
        <w:t>Dane są przetwarzane zgodnie z ogólnym rozporządzeniem o ochronie danych (RODO), polskimi przepisami o ochronie danych oraz – w zakresie zapisu lub odczytu informacji na urządzeniu użytkownika – Prawem komunikacji elektronicznej.</w:t>
      </w:r>
    </w:p>
    <w:p>
      <w:pPr>
        <w:pStyle w:val="Heading1"/>
        <w:keepNext/>
        <w:widowControl/>
      </w:pPr>
      <w:r>
        <w:t>2. Administrator danych i kontakt</w:t>
      </w:r>
    </w:p>
    <w:p>
      <w:pPr>
        <w:widowControl/>
      </w:pPr>
      <w:r>
        <w:rPr>
          <w:rFonts w:ascii="Calibri" w:hAnsi="Calibri"/>
          <w:i w:val="0"/>
          <w:color w:val="000000"/>
          <w:sz w:val="22"/>
        </w:rPr>
        <w:t>Administratorem danych osobowych jest SPEKTRA Maciej Kocoń, z siedzibą w Bydgoszczy, NIP 9532453221 (dalej: „SPEKTRA” lub „Administrator”).</w:t>
      </w:r>
    </w:p>
    <w:p>
      <w:pPr>
        <w:widowControl/>
      </w:pPr>
      <w:r>
        <w:rPr>
          <w:rFonts w:ascii="Calibri" w:hAnsi="Calibri"/>
          <w:i w:val="0"/>
          <w:color w:val="000000"/>
          <w:sz w:val="22"/>
        </w:rPr>
        <w:t>W sprawach dotyczących prywatności i danych osobowych można skontaktować się:</w:t>
      </w:r>
    </w:p>
    <w:p>
      <w:pPr>
        <w:widowControl/>
        <w:numPr>
          <w:ilvl w:val="0"/>
          <w:numId w:val="41"/>
        </w:numPr>
      </w:pPr>
      <w:r>
        <w:rPr>
          <w:rFonts w:ascii="Calibri" w:hAnsi="Calibri"/>
          <w:b/>
          <w:color w:val="000000"/>
          <w:sz w:val="22"/>
        </w:rPr>
        <w:t>e-mailowo:</w:t>
      </w:r>
      <w:r>
        <w:rPr>
          <w:rFonts w:ascii="Calibri" w:hAnsi="Calibri"/>
          <w:color w:val="000000"/>
          <w:sz w:val="22"/>
        </w:rPr>
        <w:t xml:space="preserve"> biuro@spektra.net.pl</w:t>
      </w:r>
    </w:p>
    <w:p>
      <w:pPr>
        <w:widowControl/>
        <w:numPr>
          <w:ilvl w:val="0"/>
          <w:numId w:val="41"/>
        </w:numPr>
      </w:pPr>
      <w:r>
        <w:rPr>
          <w:rFonts w:ascii="Calibri" w:hAnsi="Calibri"/>
          <w:b/>
          <w:color w:val="000000"/>
          <w:sz w:val="22"/>
        </w:rPr>
        <w:t>telefonicznie:</w:t>
      </w:r>
      <w:r>
        <w:rPr>
          <w:rFonts w:ascii="Calibri" w:hAnsi="Calibri"/>
          <w:color w:val="000000"/>
          <w:sz w:val="22"/>
        </w:rPr>
        <w:t xml:space="preserve"> 505 127 025</w:t>
      </w:r>
    </w:p>
    <w:p>
      <w:pPr>
        <w:widowControl/>
      </w:pPr>
      <w:r>
        <w:rPr>
          <w:rFonts w:ascii="Calibri" w:hAnsi="Calibri"/>
          <w:i w:val="0"/>
          <w:color w:val="000000"/>
          <w:sz w:val="22"/>
        </w:rPr>
        <w:t>Powyższy kontakt służy również realizacji praw osób, których dane dotyczą.</w:t>
      </w:r>
    </w:p>
    <w:p>
      <w:pPr>
        <w:pStyle w:val="Heading1"/>
        <w:keepNext/>
        <w:widowControl/>
      </w:pPr>
      <w:r>
        <w:t>3. Jakie dane możemy przetwarzać</w:t>
      </w:r>
    </w:p>
    <w:p>
      <w:pPr>
        <w:widowControl/>
        <w:numPr>
          <w:ilvl w:val="0"/>
          <w:numId w:val="41"/>
        </w:numPr>
      </w:pPr>
      <w:r>
        <w:rPr>
          <w:rFonts w:ascii="Calibri" w:hAnsi="Calibri"/>
          <w:color w:val="000000"/>
          <w:sz w:val="22"/>
        </w:rPr>
        <w:t>dane przekazane w formularzu: imię i nazwisko lub nazwa firmy, telefon, adres e-mail, wybrana usługa oraz treść wiadomości;</w:t>
      </w:r>
    </w:p>
    <w:p>
      <w:pPr>
        <w:widowControl/>
        <w:numPr>
          <w:ilvl w:val="0"/>
          <w:numId w:val="41"/>
        </w:numPr>
      </w:pPr>
      <w:r>
        <w:rPr>
          <w:rFonts w:ascii="Calibri" w:hAnsi="Calibri"/>
          <w:color w:val="000000"/>
          <w:sz w:val="22"/>
        </w:rPr>
        <w:t>dane przekazane podczas kontaktu telefonicznego lub e-mailowego, w tym ustalenia dotyczące oczekiwanej usługi, terminu i miejsca realizacji;</w:t>
      </w:r>
    </w:p>
    <w:p>
      <w:pPr>
        <w:widowControl/>
        <w:numPr>
          <w:ilvl w:val="0"/>
          <w:numId w:val="41"/>
        </w:numPr>
      </w:pPr>
      <w:r>
        <w:rPr>
          <w:rFonts w:ascii="Calibri" w:hAnsi="Calibri"/>
          <w:color w:val="000000"/>
          <w:sz w:val="22"/>
        </w:rPr>
        <w:t>dane związane z realizacją umowy, dokumentacją techniczną, rozliczeniami i obsługą posprzedażową – jeżeli dojdzie do współpracy;</w:t>
      </w:r>
    </w:p>
    <w:p>
      <w:pPr>
        <w:widowControl/>
        <w:numPr>
          <w:ilvl w:val="0"/>
          <w:numId w:val="41"/>
        </w:numPr>
      </w:pPr>
      <w:r>
        <w:rPr>
          <w:rFonts w:ascii="Calibri" w:hAnsi="Calibri"/>
          <w:color w:val="000000"/>
          <w:sz w:val="22"/>
        </w:rPr>
        <w:t>podstawowe dane techniczne zapisywane w logach serwera, takie jak adres IP, data i czas żądania, adres wywołanej podstrony, typ przeglądarki lub urządzenia oraz informacje o błędach;</w:t>
      </w:r>
    </w:p>
    <w:p>
      <w:pPr>
        <w:widowControl/>
        <w:numPr>
          <w:ilvl w:val="0"/>
          <w:numId w:val="41"/>
        </w:numPr>
      </w:pPr>
      <w:r>
        <w:rPr>
          <w:rFonts w:ascii="Calibri" w:hAnsi="Calibri"/>
          <w:color w:val="000000"/>
          <w:sz w:val="22"/>
        </w:rPr>
        <w:t>zagregowane informacje o korzystaniu ze strony, np. liczba wizyt i popularność podstron, bez tworzenia profili reklamowych użytkowników.</w:t>
      </w:r>
    </w:p>
    <w:p>
      <w:pPr>
        <w:widowControl/>
      </w:pPr>
      <w:r>
        <w:rPr>
          <w:rFonts w:ascii="Calibri" w:hAnsi="Calibri"/>
          <w:i w:val="0"/>
          <w:color w:val="000000"/>
          <w:sz w:val="22"/>
        </w:rPr>
        <w:t>Prosimy nie wpisywać w formularzu danych szczególnych kategorii, takich jak informacje o zdrowiu, poglądach, wyznaniu czy dokumentach tożsamości. Jeżeli takie dane nie są niezbędne, zostaną usunięte lub pominięte.</w:t>
      </w:r>
    </w:p>
    <w:p>
      <w:pPr>
        <w:pStyle w:val="Heading1"/>
        <w:keepNext/>
        <w:widowControl/>
      </w:pPr>
      <w:r>
        <w:t>4. Cele, podstawy prawne i okresy przechowywania</w:t>
      </w:r>
    </w:p>
    <w:tbl>
      <w:tblPr>
        <w:tblW w:type="dxa" w:w="9360"/>
        <w:jc w:val="left"/>
        <w:tblLayout w:type="fixed"/>
        <w:tblLook w:firstColumn="1" w:firstRow="1" w:lastColumn="0" w:lastRow="0" w:noHBand="0" w:noVBand="1" w:val="04A0"/>
        <w:tblInd w:w="120" w:type="dxa"/>
        <w:tblBorders>
          <w:top w:val="single" w:sz="6" w:color="D5DDE6"/>
          <w:left w:val="single" w:sz="6" w:color="D5DDE6"/>
          <w:bottom w:val="single" w:sz="6" w:color="D5DDE6"/>
          <w:right w:val="single" w:sz="6" w:color="D5DDE6"/>
          <w:insideH w:val="single" w:sz="6" w:color="D5DDE6"/>
          <w:insideV w:val="single" w:sz="6" w:color="D5DDE6"/>
        </w:tblBorders>
      </w:tblPr>
      <w:tblGrid>
        <w:gridCol w:w="2808"/>
        <w:gridCol w:w="6552"/>
      </w:tblGrid>
      <w:tr>
        <w:trPr>
          <w:cantSplit/>
        </w:trPr>
        <w:tc>
          <w:tcPr>
            <w:tcW w:type="dxa" w:w="2808"/>
            <w:tcMar>
              <w:top w:w="80" w:type="dxa"/>
              <w:start w:w="120" w:type="dxa"/>
              <w:bottom w:w="80" w:type="dxa"/>
              <w:end w:w="120" w:type="dxa"/>
            </w:tcMar>
            <w:vAlign w:val="center"/>
            <w:shd w:fill="F2F4F7"/>
          </w:tcPr>
          <w:p>
            <w:pPr>
              <w:spacing w:after="40" w:line="252" w:lineRule="auto"/>
            </w:pPr>
            <w:r>
              <w:rPr>
                <w:rFonts w:ascii="Calibri" w:hAnsi="Calibri"/>
                <w:b/>
                <w:color w:val="0B2545"/>
                <w:sz w:val="20"/>
              </w:rPr>
              <w:t>Cel</w:t>
            </w:r>
          </w:p>
        </w:tc>
        <w:tc>
          <w:tcPr>
            <w:tcW w:type="dxa" w:w="6552"/>
            <w:tcMar>
              <w:top w:w="80" w:type="dxa"/>
              <w:start w:w="120" w:type="dxa"/>
              <w:bottom w:w="80" w:type="dxa"/>
              <w:end w:w="120" w:type="dxa"/>
            </w:tcMar>
            <w:vAlign w:val="center"/>
            <w:shd w:fill="F2F4F7"/>
          </w:tcPr>
          <w:p>
            <w:pPr>
              <w:spacing w:after="40" w:line="252" w:lineRule="auto"/>
            </w:pPr>
            <w:r>
              <w:rPr>
                <w:rFonts w:ascii="Calibri" w:hAnsi="Calibri"/>
                <w:b/>
                <w:color w:val="0B2545"/>
                <w:sz w:val="20"/>
              </w:rPr>
              <w:t>Podstawa prawna i zasady przechowywania</w:t>
            </w:r>
          </w:p>
        </w:tc>
      </w:tr>
      <w:tr>
        <w:trPr>
          <w:cantSplit/>
        </w:trPr>
        <w:tc>
          <w:tcPr>
            <w:tcW w:type="dxa" w:w="2808"/>
            <w:tcMar>
              <w:top w:w="80" w:type="dxa"/>
              <w:start w:w="120" w:type="dxa"/>
              <w:bottom w:w="80" w:type="dxa"/>
              <w:end w:w="120" w:type="dxa"/>
            </w:tcMar>
            <w:vAlign w:val="center"/>
          </w:tcPr>
          <w:p>
            <w:pPr>
              <w:spacing w:after="80" w:line="252" w:lineRule="auto"/>
            </w:pPr>
            <w:r>
              <w:rPr>
                <w:rFonts w:ascii="Calibri" w:hAnsi="Calibri"/>
                <w:b/>
                <w:color w:val="1D2633"/>
                <w:sz w:val="20"/>
              </w:rPr>
              <w:t>Obsługa zapytania lub wyceny</w:t>
            </w:r>
          </w:p>
        </w:tc>
        <w:tc>
          <w:tcPr>
            <w:tcW w:type="dxa" w:w="6552"/>
            <w:tcMar>
              <w:top w:w="80" w:type="dxa"/>
              <w:start w:w="120" w:type="dxa"/>
              <w:bottom w:w="80" w:type="dxa"/>
              <w:end w:w="120" w:type="dxa"/>
            </w:tcMar>
            <w:vAlign w:val="center"/>
          </w:tcPr>
          <w:p>
            <w:pPr>
              <w:spacing w:after="80" w:line="252" w:lineRule="auto"/>
            </w:pPr>
            <w:r>
              <w:rPr>
                <w:rFonts w:ascii="Calibri" w:hAnsi="Calibri"/>
                <w:b w:val="0"/>
                <w:color w:val="1D2633"/>
                <w:sz w:val="20"/>
              </w:rPr>
              <w:t>Art. 6 ust. 1 lit. b RODO – działania na żądanie osoby przed zawarciem umowy. Dane przechowujemy przez czas obsługi zapytania, a gdy nie dojdzie do współpracy – co do zasady nie dłużej niż 12 miesięcy od ostatniego kontaktu, chyba że są potrzebne do ustalenia, dochodzenia lub obrony roszczeń.</w:t>
            </w:r>
          </w:p>
        </w:tc>
      </w:tr>
      <w:tr>
        <w:trPr>
          <w:cantSplit/>
        </w:trPr>
        <w:tc>
          <w:tcPr>
            <w:tcW w:type="dxa" w:w="2808"/>
            <w:tcMar>
              <w:top w:w="80" w:type="dxa"/>
              <w:start w:w="120" w:type="dxa"/>
              <w:bottom w:w="80" w:type="dxa"/>
              <w:end w:w="120" w:type="dxa"/>
            </w:tcMar>
            <w:vAlign w:val="center"/>
          </w:tcPr>
          <w:p>
            <w:pPr>
              <w:spacing w:after="80" w:line="252" w:lineRule="auto"/>
            </w:pPr>
            <w:r>
              <w:rPr>
                <w:rFonts w:ascii="Calibri" w:hAnsi="Calibri"/>
                <w:b/>
                <w:color w:val="1D2633"/>
                <w:sz w:val="20"/>
              </w:rPr>
              <w:t>Realizacja umowy i rozliczenia</w:t>
            </w:r>
          </w:p>
        </w:tc>
        <w:tc>
          <w:tcPr>
            <w:tcW w:type="dxa" w:w="6552"/>
            <w:tcMar>
              <w:top w:w="80" w:type="dxa"/>
              <w:start w:w="120" w:type="dxa"/>
              <w:bottom w:w="80" w:type="dxa"/>
              <w:end w:w="120" w:type="dxa"/>
            </w:tcMar>
            <w:vAlign w:val="center"/>
          </w:tcPr>
          <w:p>
            <w:pPr>
              <w:spacing w:after="80" w:line="252" w:lineRule="auto"/>
            </w:pPr>
            <w:r>
              <w:rPr>
                <w:rFonts w:ascii="Calibri" w:hAnsi="Calibri"/>
                <w:b w:val="0"/>
                <w:color w:val="1D2633"/>
                <w:sz w:val="20"/>
              </w:rPr>
              <w:t>Art. 6 ust. 1 lit. b i c RODO – wykonanie umowy oraz obowiązki prawne, w szczególności podatkowe i rachunkowe. Dane przechowujemy przez okres współpracy, a następnie przez okresy wymagane prawem i przedawnienia roszczeń.</w:t>
            </w:r>
          </w:p>
        </w:tc>
      </w:tr>
      <w:tr>
        <w:trPr>
          <w:cantSplit/>
        </w:trPr>
        <w:tc>
          <w:tcPr>
            <w:tcW w:type="dxa" w:w="2808"/>
            <w:tcMar>
              <w:top w:w="80" w:type="dxa"/>
              <w:start w:w="120" w:type="dxa"/>
              <w:bottom w:w="80" w:type="dxa"/>
              <w:end w:w="120" w:type="dxa"/>
            </w:tcMar>
            <w:vAlign w:val="center"/>
          </w:tcPr>
          <w:p>
            <w:pPr>
              <w:spacing w:after="80" w:line="252" w:lineRule="auto"/>
            </w:pPr>
            <w:r>
              <w:rPr>
                <w:rFonts w:ascii="Calibri" w:hAnsi="Calibri"/>
                <w:b/>
                <w:color w:val="1D2633"/>
                <w:sz w:val="20"/>
              </w:rPr>
              <w:t>Korespondencja, bezpieczeństwo i roszczenia</w:t>
            </w:r>
          </w:p>
        </w:tc>
        <w:tc>
          <w:tcPr>
            <w:tcW w:type="dxa" w:w="6552"/>
            <w:tcMar>
              <w:top w:w="80" w:type="dxa"/>
              <w:start w:w="120" w:type="dxa"/>
              <w:bottom w:w="80" w:type="dxa"/>
              <w:end w:w="120" w:type="dxa"/>
            </w:tcMar>
            <w:vAlign w:val="center"/>
          </w:tcPr>
          <w:p>
            <w:pPr>
              <w:spacing w:after="80" w:line="252" w:lineRule="auto"/>
            </w:pPr>
            <w:r>
              <w:rPr>
                <w:rFonts w:ascii="Calibri" w:hAnsi="Calibri"/>
                <w:b w:val="0"/>
                <w:color w:val="1D2633"/>
                <w:sz w:val="20"/>
              </w:rPr>
              <w:t>Art. 6 ust. 1 lit. f RODO – prawnie uzasadniony interes administratora: prowadzenie korespondencji, ochrona serwisu, dokumentowanie ustaleń oraz obrona praw. Logi techniczne są przechowywane co do zasady do 90 dni, dłużej tylko w razie incydentu lub potrzeby dowodowej.</w:t>
            </w:r>
          </w:p>
        </w:tc>
      </w:tr>
      <w:tr>
        <w:trPr>
          <w:cantSplit/>
        </w:trPr>
        <w:tc>
          <w:tcPr>
            <w:tcW w:type="dxa" w:w="2808"/>
            <w:tcMar>
              <w:top w:w="80" w:type="dxa"/>
              <w:start w:w="120" w:type="dxa"/>
              <w:bottom w:w="80" w:type="dxa"/>
              <w:end w:w="120" w:type="dxa"/>
            </w:tcMar>
            <w:vAlign w:val="center"/>
          </w:tcPr>
          <w:p>
            <w:pPr>
              <w:spacing w:after="80" w:line="252" w:lineRule="auto"/>
            </w:pPr>
            <w:r>
              <w:rPr>
                <w:rFonts w:ascii="Calibri" w:hAnsi="Calibri"/>
                <w:b/>
                <w:color w:val="1D2633"/>
                <w:sz w:val="20"/>
              </w:rPr>
              <w:t>Podstawowe statystyki serwisu</w:t>
            </w:r>
          </w:p>
        </w:tc>
        <w:tc>
          <w:tcPr>
            <w:tcW w:type="dxa" w:w="6552"/>
            <w:tcMar>
              <w:top w:w="80" w:type="dxa"/>
              <w:start w:w="120" w:type="dxa"/>
              <w:bottom w:w="80" w:type="dxa"/>
              <w:end w:w="120" w:type="dxa"/>
            </w:tcMar>
            <w:vAlign w:val="center"/>
          </w:tcPr>
          <w:p>
            <w:pPr>
              <w:spacing w:after="80" w:line="252" w:lineRule="auto"/>
            </w:pPr>
            <w:r>
              <w:rPr>
                <w:rFonts w:ascii="Calibri" w:hAnsi="Calibri"/>
                <w:b w:val="0"/>
                <w:color w:val="1D2633"/>
                <w:sz w:val="20"/>
              </w:rPr>
              <w:t>Art. 6 ust. 1 lit. f RODO – pomiar popularności treści i poprawa działania strony, pod warunkiem stosowania rozwiązania bez cookies, bez profili reklamowych i z danymi zagregowanymi. Jeżeli wybrane narzędzie wymaga zapisu lub odczytu informacji z urządzenia, zostanie uruchomione dopiero po zgodzie użytkownika.</w:t>
            </w:r>
          </w:p>
        </w:tc>
      </w:tr>
    </w:tbl>
    <w:p>
      <w:pPr>
        <w:widowControl/>
        <w:spacing w:before="80" w:after="80"/>
      </w:pPr>
      <w:r>
        <w:rPr>
          <w:rFonts w:ascii="Calibri" w:hAnsi="Calibri"/>
          <w:i/>
          <w:color w:val="596579"/>
          <w:sz w:val="18"/>
        </w:rPr>
        <w:t>Podstawy prawne podano zgodnie z RODO; zasady cookies wynikają również z art. 399 Prawa komunikacji elektronicznej.</w:t>
      </w:r>
    </w:p>
    <w:p>
      <w:pPr>
        <w:pStyle w:val="Heading1"/>
        <w:keepNext/>
        <w:widowControl/>
      </w:pPr>
      <w:r>
        <w:t>5. Odbiorcy danych</w:t>
      </w:r>
    </w:p>
    <w:p>
      <w:pPr>
        <w:widowControl/>
      </w:pPr>
      <w:r>
        <w:rPr>
          <w:rFonts w:ascii="Calibri" w:hAnsi="Calibri"/>
          <w:i w:val="0"/>
          <w:color w:val="000000"/>
          <w:sz w:val="22"/>
        </w:rPr>
        <w:t>Dane mogą być powierzane podmiotom, które wspierają SPEKTRA w prowadzeniu strony i działalności, wyłącznie w zakresie niezbędnym do wykonania ich zadań. Mogą to być:</w:t>
      </w:r>
    </w:p>
    <w:p>
      <w:pPr>
        <w:widowControl/>
        <w:numPr>
          <w:ilvl w:val="0"/>
          <w:numId w:val="41"/>
        </w:numPr>
      </w:pPr>
      <w:r>
        <w:rPr>
          <w:rFonts w:ascii="Calibri" w:hAnsi="Calibri"/>
          <w:color w:val="000000"/>
          <w:sz w:val="22"/>
        </w:rPr>
        <w:t>dostawcy hostingu, poczty elektronicznej, kopii zapasowych i zabezpieczeń;</w:t>
      </w:r>
    </w:p>
    <w:p>
      <w:pPr>
        <w:widowControl/>
        <w:numPr>
          <w:ilvl w:val="0"/>
          <w:numId w:val="41"/>
        </w:numPr>
      </w:pPr>
      <w:r>
        <w:rPr>
          <w:rFonts w:ascii="Calibri" w:hAnsi="Calibri"/>
          <w:color w:val="000000"/>
          <w:sz w:val="22"/>
        </w:rPr>
        <w:t>podmioty utrzymujące lub rozwijające stronę i systemy informatyczne;</w:t>
      </w:r>
    </w:p>
    <w:p>
      <w:pPr>
        <w:widowControl/>
        <w:numPr>
          <w:ilvl w:val="0"/>
          <w:numId w:val="41"/>
        </w:numPr>
      </w:pPr>
      <w:r>
        <w:rPr>
          <w:rFonts w:ascii="Calibri" w:hAnsi="Calibri"/>
          <w:color w:val="000000"/>
          <w:sz w:val="22"/>
        </w:rPr>
        <w:t>dostawca narzędzia do podstawowych statystyk serwisu;</w:t>
      </w:r>
    </w:p>
    <w:p>
      <w:pPr>
        <w:widowControl/>
        <w:numPr>
          <w:ilvl w:val="0"/>
          <w:numId w:val="41"/>
        </w:numPr>
      </w:pPr>
      <w:r>
        <w:rPr>
          <w:rFonts w:ascii="Calibri" w:hAnsi="Calibri"/>
          <w:color w:val="000000"/>
          <w:sz w:val="22"/>
        </w:rPr>
        <w:t>doradcy prawni, księgowi lub ubezpieczyciele – gdy jest to potrzebne do rozliczeń albo ochrony praw;</w:t>
      </w:r>
    </w:p>
    <w:p>
      <w:pPr>
        <w:widowControl/>
        <w:numPr>
          <w:ilvl w:val="0"/>
          <w:numId w:val="41"/>
        </w:numPr>
      </w:pPr>
      <w:r>
        <w:rPr>
          <w:rFonts w:ascii="Calibri" w:hAnsi="Calibri"/>
          <w:color w:val="000000"/>
          <w:sz w:val="22"/>
        </w:rPr>
        <w:t>organy publiczne – tylko gdy obowiązek przekazania danych wynika z prawa.</w:t>
      </w:r>
    </w:p>
    <w:p>
      <w:pPr>
        <w:widowControl/>
      </w:pPr>
      <w:r>
        <w:rPr>
          <w:rFonts w:ascii="Calibri" w:hAnsi="Calibri"/>
          <w:i w:val="0"/>
          <w:color w:val="000000"/>
          <w:sz w:val="22"/>
        </w:rPr>
        <w:t>Podmioty przetwarzające dane na zlecenie SPEKTRA są zobowiązane do zachowania poufności, bezpieczeństwa i działania zgodnie z umową powierzenia danych, jeżeli jest ona wymagana.</w:t>
      </w:r>
    </w:p>
    <w:p>
      <w:pPr>
        <w:pStyle w:val="Heading1"/>
        <w:keepNext/>
        <w:widowControl/>
      </w:pPr>
      <w:r>
        <w:t>6. Przekazywanie danych poza Europejski Obszar Gospodarczy</w:t>
      </w:r>
    </w:p>
    <w:p>
      <w:pPr>
        <w:widowControl/>
      </w:pPr>
      <w:r>
        <w:rPr>
          <w:rFonts w:ascii="Calibri" w:hAnsi="Calibri"/>
          <w:i w:val="0"/>
          <w:color w:val="000000"/>
          <w:sz w:val="22"/>
        </w:rPr>
        <w:t>SPEKTRA będzie w pierwszej kolejności wybierać rozwiązania umożliwiające przetwarzanie danych w Europejskim Obszarze Gospodarczym. Jeżeli wybrany dostawca usług technicznych przekazuje dane poza EOG, transfer może odbywać się wyłącznie na podstawie mechanizmu dopuszczonego przez RODO, np. decyzji Komisji Europejskiej o odpowiednim stopniu ochrony albo standardowych klauzul umownych, wraz z wymaganymi zabezpieczeniami.</w:t>
      </w:r>
    </w:p>
    <w:p>
      <w:pPr>
        <w:widowControl/>
      </w:pPr>
      <w:r>
        <w:rPr>
          <w:rFonts w:ascii="Calibri" w:hAnsi="Calibri"/>
          <w:i w:val="0"/>
          <w:color w:val="000000"/>
          <w:sz w:val="22"/>
        </w:rPr>
        <w:t>Po przejściu do zewnętrznego serwisu społecznościowego zasady przetwarzania danych określa również operator tego serwisu. Informacje o profilach społecznościowych znajdują się w pkt 11.</w:t>
      </w:r>
    </w:p>
    <w:p>
      <w:pPr>
        <w:pStyle w:val="Heading1"/>
        <w:keepNext/>
        <w:widowControl/>
      </w:pPr>
      <w:r>
        <w:t>7. Dobrowolność podania danych</w:t>
      </w:r>
    </w:p>
    <w:p>
      <w:pPr>
        <w:widowControl/>
      </w:pPr>
      <w:r>
        <w:rPr>
          <w:rFonts w:ascii="Calibri" w:hAnsi="Calibri"/>
          <w:i w:val="0"/>
          <w:color w:val="000000"/>
          <w:sz w:val="22"/>
        </w:rPr>
        <w:t>Podanie danych w formularzu jest dobrowolne, lecz dane kontaktowe i treść zapytania są potrzebne, aby udzielić odpowiedzi, przygotować wycenę lub podjąć działania przed zawarciem umowy. Brak tych danych może uniemożliwić obsługę zapytania. Dane wymagane przepisami lub umową będą oznaczone na odpowiednim etapie współpracy.</w:t>
      </w:r>
    </w:p>
    <w:p>
      <w:pPr>
        <w:pStyle w:val="Heading1"/>
        <w:keepNext/>
        <w:widowControl/>
      </w:pPr>
      <w:r>
        <w:t>8. Prawa osoby, której dane dotyczą</w:t>
      </w:r>
    </w:p>
    <w:p>
      <w:pPr>
        <w:widowControl/>
      </w:pPr>
      <w:r>
        <w:rPr>
          <w:rFonts w:ascii="Calibri" w:hAnsi="Calibri"/>
          <w:i w:val="0"/>
          <w:color w:val="000000"/>
          <w:sz w:val="22"/>
        </w:rPr>
        <w:t>Na zasadach określonych w RODO przysługuje prawo do:</w:t>
      </w:r>
    </w:p>
    <w:p>
      <w:pPr>
        <w:widowControl/>
        <w:numPr>
          <w:ilvl w:val="0"/>
          <w:numId w:val="41"/>
        </w:numPr>
      </w:pPr>
      <w:r>
        <w:rPr>
          <w:rFonts w:ascii="Calibri" w:hAnsi="Calibri"/>
          <w:color w:val="000000"/>
          <w:sz w:val="22"/>
        </w:rPr>
        <w:t>dostępu do danych i otrzymania ich kopii;</w:t>
      </w:r>
    </w:p>
    <w:p>
      <w:pPr>
        <w:widowControl/>
        <w:numPr>
          <w:ilvl w:val="0"/>
          <w:numId w:val="41"/>
        </w:numPr>
      </w:pPr>
      <w:r>
        <w:rPr>
          <w:rFonts w:ascii="Calibri" w:hAnsi="Calibri"/>
          <w:color w:val="000000"/>
          <w:sz w:val="22"/>
        </w:rPr>
        <w:t>sprostowania danych;</w:t>
      </w:r>
    </w:p>
    <w:p>
      <w:pPr>
        <w:widowControl/>
        <w:numPr>
          <w:ilvl w:val="0"/>
          <w:numId w:val="41"/>
        </w:numPr>
      </w:pPr>
      <w:r>
        <w:rPr>
          <w:rFonts w:ascii="Calibri" w:hAnsi="Calibri"/>
          <w:color w:val="000000"/>
          <w:sz w:val="22"/>
        </w:rPr>
        <w:t>usunięcia danych lub ograniczenia ich przetwarzania;</w:t>
      </w:r>
    </w:p>
    <w:p>
      <w:pPr>
        <w:widowControl/>
        <w:numPr>
          <w:ilvl w:val="0"/>
          <w:numId w:val="41"/>
        </w:numPr>
      </w:pPr>
      <w:r>
        <w:rPr>
          <w:rFonts w:ascii="Calibri" w:hAnsi="Calibri"/>
          <w:color w:val="000000"/>
          <w:sz w:val="22"/>
        </w:rPr>
        <w:t>przenoszenia danych – gdy przetwarzanie odbywa się automatycznie na podstawie umowy lub zgody;</w:t>
      </w:r>
    </w:p>
    <w:p>
      <w:pPr>
        <w:widowControl/>
        <w:numPr>
          <w:ilvl w:val="0"/>
          <w:numId w:val="41"/>
        </w:numPr>
      </w:pPr>
      <w:r>
        <w:rPr>
          <w:rFonts w:ascii="Calibri" w:hAnsi="Calibri"/>
          <w:color w:val="000000"/>
          <w:sz w:val="22"/>
        </w:rPr>
        <w:t>wniesienia sprzeciwu wobec przetwarzania opartego na prawnie uzasadnionym interesie, z przyczyn związanych ze szczególną sytuacją;</w:t>
      </w:r>
    </w:p>
    <w:p>
      <w:pPr>
        <w:widowControl/>
        <w:numPr>
          <w:ilvl w:val="0"/>
          <w:numId w:val="41"/>
        </w:numPr>
      </w:pPr>
      <w:r>
        <w:rPr>
          <w:rFonts w:ascii="Calibri" w:hAnsi="Calibri"/>
          <w:color w:val="000000"/>
          <w:sz w:val="22"/>
        </w:rPr>
        <w:t>cofnięcia zgody w dowolnym momencie – jeżeli zgoda jest podstawą przetwarzania; cofnięcie nie wpływa na zgodność wcześniejszego przetwarzania z prawem;</w:t>
      </w:r>
    </w:p>
    <w:p>
      <w:pPr>
        <w:widowControl/>
        <w:numPr>
          <w:ilvl w:val="0"/>
          <w:numId w:val="41"/>
        </w:numPr>
      </w:pPr>
      <w:r>
        <w:rPr>
          <w:rFonts w:ascii="Calibri" w:hAnsi="Calibri"/>
          <w:color w:val="000000"/>
          <w:sz w:val="22"/>
        </w:rPr>
        <w:t>wniesienia skargi do Prezesa Urzędu Ochrony Danych Osobowych.</w:t>
      </w:r>
    </w:p>
    <w:p>
      <w:pPr>
        <w:widowControl/>
      </w:pPr>
      <w:r>
        <w:rPr>
          <w:rFonts w:ascii="Calibri" w:hAnsi="Calibri"/>
          <w:i w:val="0"/>
          <w:color w:val="000000"/>
          <w:sz w:val="22"/>
        </w:rPr>
        <w:t>Wniosek można przesłać na adres biuro@spektra.net.pl. Przed realizacją żądania Administrator może poprosić o informacje potrzebne do potwierdzenia tożsamości.</w:t>
      </w:r>
    </w:p>
    <w:p>
      <w:pPr>
        <w:widowControl/>
      </w:pPr>
      <w:r>
        <w:rPr>
          <w:rFonts w:ascii="Calibri" w:hAnsi="Calibri"/>
          <w:i w:val="0"/>
          <w:color w:val="000000"/>
          <w:sz w:val="22"/>
        </w:rPr>
        <w:t>Dane kontaktowe organu nadzorczego: Prezes Urzędu Ochrony Danych Osobowych, ul. Stanisława Moniuszki 1A, 00-014 Warszawa, kancelaria@uodo.gov.pl.</w:t>
      </w:r>
    </w:p>
    <w:p>
      <w:pPr>
        <w:pStyle w:val="Heading1"/>
        <w:keepNext/>
        <w:widowControl/>
      </w:pPr>
      <w:r>
        <w:t>9. Cookies, pamięć urządzenia i podstawowe statystyki</w:t>
      </w:r>
    </w:p>
    <w:p>
      <w:pPr>
        <w:widowControl/>
      </w:pPr>
      <w:r>
        <w:rPr>
          <w:rFonts w:ascii="Calibri" w:hAnsi="Calibri"/>
          <w:i w:val="0"/>
          <w:color w:val="000000"/>
          <w:sz w:val="22"/>
        </w:rPr>
        <w:t>Serwis może korzystać z rozwiązań technicznych niezbędnych do prawidłowego działania, bezpieczeństwa, zapamiętania ustawień prywatności lub obsługi formularza. Informacje niezbędne do świadczenia usługi żądanej przez użytkownika mogą być stosowane bez odrębnej zgody w zakresie dopuszczonym przez art. 399 ust. 3 Prawa komunikacji elektronicznej.</w:t>
      </w:r>
    </w:p>
    <w:p>
      <w:pPr>
        <w:widowControl/>
      </w:pPr>
      <w:r>
        <w:rPr>
          <w:rFonts w:ascii="Calibri" w:hAnsi="Calibri"/>
          <w:i w:val="0"/>
          <w:color w:val="000000"/>
          <w:sz w:val="22"/>
        </w:rPr>
        <w:t>Podstawowe statystyki mają być realizowane w wariancie chroniącym prywatność: bez reklam, bez profilowania, bez śledzenia użytkownika między serwisami i – o ile pozwala na to wybrane narzędzie – bez plików cookies oraz innych trwałych identyfikatorów. Wyniki służą wyłącznie do oceny popularności treści i poprawy działania strony.</w:t>
      </w:r>
    </w:p>
    <w:p>
      <w:pPr>
        <w:widowControl/>
      </w:pPr>
      <w:r>
        <w:rPr>
          <w:rFonts w:ascii="Calibri" w:hAnsi="Calibri"/>
          <w:i w:val="0"/>
          <w:color w:val="000000"/>
          <w:sz w:val="22"/>
        </w:rPr>
        <w:t>Jeżeli wybrane narzędzie analityczne będzie przechowywać informacje na urządzeniu użytkownika albo uzyskiwać dostęp do takich informacji i nie będzie to niezbędne do działania strony, zostanie uruchomione dopiero po aktywnej zgodzie. Użytkownik będzie mógł równie łatwo odrzucić opcjonalne technologie, jak je zaakceptować, a następnie zmienić decyzję w ustawieniach prywatności.</w:t>
      </w:r>
    </w:p>
    <w:p>
      <w:pPr>
        <w:widowControl/>
      </w:pPr>
      <w:r>
        <w:rPr>
          <w:rFonts w:ascii="Calibri" w:hAnsi="Calibri"/>
          <w:i w:val="0"/>
          <w:color w:val="000000"/>
          <w:sz w:val="22"/>
        </w:rPr>
        <w:t>Użytkownik może również ograniczać cookies w ustawieniach przeglądarki. Zablokowanie rozwiązań niezbędnych może jednak wpłynąć na działanie niektórych funkcji strony.</w:t>
      </w:r>
    </w:p>
    <w:p>
      <w:pPr>
        <w:pStyle w:val="Heading1"/>
        <w:keepNext/>
        <w:widowControl/>
      </w:pPr>
      <w:r>
        <w:t>10. Formularz kontaktowy</w:t>
      </w:r>
    </w:p>
    <w:p>
      <w:pPr>
        <w:widowControl/>
      </w:pPr>
      <w:r>
        <w:rPr>
          <w:rFonts w:ascii="Calibri" w:hAnsi="Calibri"/>
          <w:i w:val="0"/>
          <w:color w:val="000000"/>
          <w:sz w:val="22"/>
        </w:rPr>
        <w:t>Dane z formularza są wysyłane w celu obsługi konkretnego zapytania. Potwierdzenie „Zapoznałem/am się z Polityką prywatności” dokumentuje przekazanie informacji o przetwarzaniu danych; nie jest zgodą marketingową i nie służy do zapisywania użytkownika do newslettera.</w:t>
      </w:r>
    </w:p>
    <w:p>
      <w:pPr>
        <w:widowControl/>
      </w:pPr>
      <w:r>
        <w:rPr>
          <w:rFonts w:ascii="Calibri" w:hAnsi="Calibri"/>
          <w:i w:val="0"/>
          <w:color w:val="000000"/>
          <w:sz w:val="22"/>
        </w:rPr>
        <w:t>Serwis może stosować zabezpieczenia formularza przed spamem. Jeżeli zabezpieczenie będzie korzystać z usług zewnętrznych, cookies lub przesyłać dane poza EOG, polityka zostanie uzupełniona przed jego uruchomieniem, a wymagana zgoda zostanie pobrana z wyprzedzeniem.</w:t>
      </w:r>
    </w:p>
    <w:p>
      <w:pPr>
        <w:pStyle w:val="Heading1"/>
        <w:keepNext/>
        <w:widowControl/>
      </w:pPr>
      <w:r>
        <w:t>11. Odnośniki do mediów społecznościowych</w:t>
      </w:r>
    </w:p>
    <w:p>
      <w:pPr>
        <w:widowControl/>
      </w:pPr>
      <w:r>
        <w:rPr>
          <w:rFonts w:ascii="Calibri" w:hAnsi="Calibri"/>
          <w:i w:val="0"/>
          <w:color w:val="000000"/>
          <w:sz w:val="22"/>
        </w:rPr>
        <w:t>Serwis może zawierać zwykłe odnośniki do profili SPEKTRA w serwisach Facebook i TikTok. Dopóki użytkownik nie kliknie odnośnika, SPEKTRA nie osadza na stronie kanałów społecznościowych ani pikseli reklamowych. Po przejściu do zewnętrznego serwisu jego operator może przetwarzać dane zgodnie z własną polityką prywatności i ustawieniami konta użytkownika.</w:t>
      </w:r>
    </w:p>
    <w:p>
      <w:pPr>
        <w:widowControl/>
      </w:pPr>
      <w:r>
        <w:rPr>
          <w:rFonts w:ascii="Calibri" w:hAnsi="Calibri"/>
          <w:i w:val="0"/>
          <w:color w:val="000000"/>
          <w:sz w:val="22"/>
        </w:rPr>
        <w:t>Aktualne profile SPEKTRA:</w:t>
      </w:r>
    </w:p>
    <w:p>
      <w:pPr>
        <w:widowControl/>
        <w:numPr>
          <w:ilvl w:val="0"/>
          <w:numId w:val="41"/>
        </w:numPr>
      </w:pPr>
      <w:hyperlink r:id="rId11">
        <w:r>
          <w:rPr>
            <w:rFonts w:ascii="Calibri" w:hAnsi="Calibri"/>
            <w:color w:val="2E74B5"/>
            <w:u w:val="single"/>
            <w:sz w:val="20"/>
          </w:rPr>
          <w:t>Facebook</w:t>
        </w:r>
      </w:hyperlink>
    </w:p>
    <w:p>
      <w:pPr>
        <w:widowControl/>
        <w:numPr>
          <w:ilvl w:val="0"/>
          <w:numId w:val="41"/>
        </w:numPr>
      </w:pPr>
      <w:hyperlink r:id="rId12">
        <w:r>
          <w:rPr>
            <w:rFonts w:ascii="Calibri" w:hAnsi="Calibri"/>
            <w:color w:val="2E74B5"/>
            <w:u w:val="single"/>
            <w:sz w:val="20"/>
          </w:rPr>
          <w:t>TikTok</w:t>
        </w:r>
      </w:hyperlink>
    </w:p>
    <w:p>
      <w:pPr>
        <w:pStyle w:val="Heading1"/>
        <w:keepNext/>
        <w:widowControl/>
      </w:pPr>
      <w:r>
        <w:t>12. Bezpieczeństwo danych</w:t>
      </w:r>
    </w:p>
    <w:p>
      <w:pPr>
        <w:widowControl/>
      </w:pPr>
      <w:r>
        <w:rPr>
          <w:rFonts w:ascii="Calibri" w:hAnsi="Calibri"/>
          <w:i w:val="0"/>
          <w:color w:val="000000"/>
          <w:sz w:val="22"/>
        </w:rPr>
        <w:t>SPEKTRA stosuje środki techniczne i organizacyjne odpowiednie do ryzyka, w szczególności szyfrowane połączenie HTTPS, kontrolę dostępu, aktualizacje, kopie zapasowe i ograniczanie zakresu danych. Dostęp do danych otrzymują wyłącznie osoby i podmioty, które potrzebują go do realizacji określonego zadania.</w:t>
      </w:r>
    </w:p>
    <w:p>
      <w:pPr>
        <w:pStyle w:val="Heading1"/>
        <w:keepNext/>
        <w:widowControl/>
      </w:pPr>
      <w:r>
        <w:t>13. Zautomatyzowane decyzje i profilowanie</w:t>
      </w:r>
    </w:p>
    <w:p>
      <w:pPr>
        <w:widowControl/>
      </w:pPr>
      <w:r>
        <w:rPr>
          <w:rFonts w:ascii="Calibri" w:hAnsi="Calibri"/>
          <w:i w:val="0"/>
          <w:color w:val="000000"/>
          <w:sz w:val="22"/>
        </w:rPr>
        <w:t>Dane nie są wykorzystywane do podejmowania wobec użytkownika decyzji opartych wyłącznie na zautomatyzowanym przetwarzaniu, które wywoływałyby skutki prawne lub w podobny sposób istotnie na niego wpływały. SPEKTRA nie prowadzi profilowania reklamowego użytkowników serwisu.</w:t>
      </w:r>
    </w:p>
    <w:p>
      <w:pPr>
        <w:pStyle w:val="Heading1"/>
        <w:keepNext/>
        <w:widowControl/>
      </w:pPr>
      <w:r>
        <w:t>14. Zmiany polityki</w:t>
      </w:r>
    </w:p>
    <w:p>
      <w:pPr>
        <w:widowControl/>
      </w:pPr>
      <w:r>
        <w:rPr>
          <w:rFonts w:ascii="Calibri" w:hAnsi="Calibri"/>
          <w:i w:val="0"/>
          <w:color w:val="000000"/>
          <w:sz w:val="22"/>
        </w:rPr>
        <w:t>Polityka może być aktualizowana w razie zmiany funkcji strony, dostawców usług, sposobu analityki lub przepisów. Aktualna wersja będzie publikowana w serwisie spektra.net.pl wraz z datą obowiązywania. Istotne zmiany nie będą działać wstecz w sposób ograniczający prawa użytkowników.</w:t>
      </w:r>
    </w:p>
    <w:p>
      <w:pPr>
        <w:widowControl/>
      </w:pPr>
      <w:r>
        <w:br w:type="page"/>
      </w:r>
    </w:p>
    <w:p>
      <w:pPr>
        <w:widowControl/>
        <w:spacing w:before="160" w:after="40"/>
      </w:pPr>
      <w:r>
        <w:rPr>
          <w:rFonts w:ascii="Calibri" w:hAnsi="Calibri"/>
          <w:b/>
          <w:color w:val="2E74B5"/>
          <w:sz w:val="20"/>
        </w:rPr>
        <w:t>MATERIAŁY WDROŻENIOWE</w:t>
      </w:r>
    </w:p>
    <w:p>
      <w:pPr>
        <w:widowControl/>
        <w:spacing w:after="200"/>
      </w:pPr>
      <w:r>
        <w:rPr>
          <w:rFonts w:ascii="Calibri" w:hAnsi="Calibri"/>
          <w:b/>
          <w:color w:val="0B2545"/>
          <w:sz w:val="44"/>
        </w:rPr>
        <w:t>Teksty gotowe do umieszczenia na stronie</w:t>
      </w:r>
    </w:p>
    <w:p>
      <w:pPr>
        <w:spacing w:before="160" w:after="200"/>
        <w:ind w:left="259" w:right="115"/>
        <w:widowControl/>
        <w:shd w:fill="EAF3FA"/>
      </w:pPr>
      <w:r>
        <w:rPr>
          <w:rFonts w:ascii="Calibri" w:hAnsi="Calibri"/>
          <w:b/>
          <w:color w:val="0B2545"/>
          <w:sz w:val="22"/>
        </w:rPr>
        <w:t xml:space="preserve">Ważne.  </w:t>
      </w:r>
      <w:r>
        <w:rPr>
          <w:rFonts w:ascii="Calibri" w:hAnsi="Calibri"/>
          <w:color w:val="0B2545"/>
          <w:sz w:val="22"/>
        </w:rPr>
        <w:t>Poniższa część jest instrukcją dla osoby wdrażającej stronę. Do publicznej zakładki „Polityka prywatności” należy skopiować punkty 1–14 powyżej.</w:t>
      </w:r>
    </w:p>
    <w:p>
      <w:pPr>
        <w:pStyle w:val="Heading1"/>
        <w:keepNext/>
        <w:widowControl/>
      </w:pPr>
      <w:r>
        <w:t>A. Informacja pod formularzem wyceny</w:t>
      </w:r>
    </w:p>
    <w:p>
      <w:pPr>
        <w:widowControl/>
      </w:pPr>
      <w:r>
        <w:rPr>
          <w:rFonts w:ascii="Calibri" w:hAnsi="Calibri"/>
          <w:i/>
          <w:color w:val="000000"/>
          <w:sz w:val="22"/>
        </w:rPr>
        <w:t>Administratorem danych jest SPEKTRA Maciej Kocoń z siedzibą w Bydgoszczy. Dane wykorzystamy do obsługi zapytania oraz podjęcia działań na Twoje żądanie przed zawarciem umowy. Podanie danych jest dobrowolne, ale bez danych kontaktowych możemy nie być w stanie odpowiedzieć. Szczegóły znajdziesz w Polityce prywatności.</w:t>
      </w:r>
    </w:p>
    <w:p>
      <w:pPr>
        <w:widowControl/>
      </w:pPr>
      <w:r>
        <w:rPr>
          <w:rFonts w:ascii="Calibri" w:hAnsi="Calibri"/>
          <w:b/>
          <w:color w:val="000000"/>
          <w:sz w:val="22"/>
        </w:rPr>
        <w:t>Treść pola wyboru:</w:t>
      </w:r>
      <w:r>
        <w:rPr>
          <w:rFonts w:ascii="Calibri" w:hAnsi="Calibri"/>
          <w:color w:val="000000"/>
          <w:sz w:val="22"/>
        </w:rPr>
      </w:r>
    </w:p>
    <w:p>
      <w:pPr>
        <w:widowControl/>
      </w:pPr>
      <w:r>
        <w:rPr>
          <w:rFonts w:ascii="Calibri" w:hAnsi="Calibri"/>
          <w:i/>
          <w:color w:val="000000"/>
          <w:sz w:val="22"/>
        </w:rPr>
        <w:t>☐ Zapoznałem/am się z Polityką prywatności.</w:t>
      </w:r>
    </w:p>
    <w:p>
      <w:pPr>
        <w:widowControl/>
      </w:pPr>
      <w:r>
        <w:rPr>
          <w:rFonts w:ascii="Calibri" w:hAnsi="Calibri"/>
          <w:i w:val="0"/>
          <w:color w:val="000000"/>
          <w:sz w:val="22"/>
        </w:rPr>
        <w:t>Słowa „Polityką prywatności” powinny być aktywnym odnośnikiem. Pole służy potwierdzeniu zapoznania się z informacją i nie powinno być opisane jako zgoda na obsługę zapytania.</w:t>
      </w:r>
    </w:p>
    <w:p>
      <w:pPr>
        <w:pStyle w:val="Heading1"/>
        <w:keepNext/>
        <w:widowControl/>
      </w:pPr>
      <w:r>
        <w:t>B. Proponowane komunikaty panelu cookies</w:t>
      </w:r>
    </w:p>
    <w:p>
      <w:pPr>
        <w:widowControl/>
      </w:pPr>
      <w:r>
        <w:rPr>
          <w:rFonts w:ascii="Calibri" w:hAnsi="Calibri"/>
          <w:b/>
          <w:color w:val="000000"/>
          <w:sz w:val="22"/>
        </w:rPr>
        <w:t>Nagłówek:</w:t>
      </w:r>
      <w:r>
        <w:rPr>
          <w:rFonts w:ascii="Calibri" w:hAnsi="Calibri"/>
          <w:color w:val="000000"/>
          <w:sz w:val="22"/>
        </w:rPr>
        <w:t xml:space="preserve"> Ustawienia prywatności</w:t>
      </w:r>
    </w:p>
    <w:p>
      <w:pPr>
        <w:widowControl/>
      </w:pPr>
      <w:r>
        <w:rPr>
          <w:rFonts w:ascii="Calibri" w:hAnsi="Calibri"/>
          <w:b/>
          <w:color w:val="000000"/>
          <w:sz w:val="22"/>
        </w:rPr>
        <w:t>Treść:</w:t>
      </w:r>
      <w:r>
        <w:rPr>
          <w:rFonts w:ascii="Calibri" w:hAnsi="Calibri"/>
          <w:color w:val="000000"/>
          <w:sz w:val="22"/>
        </w:rPr>
        <w:t xml:space="preserve"> Używamy rozwiązań niezbędnych do działania i bezpieczeństwa strony. Opcjonalne statystyki uruchomimy tylko za Twoją zgodą, jeżeli zastosowane narzędzie zapisuje lub odczytuje informacje na urządzeniu. Możesz zaakceptować albo odrzucić opcjonalne technologie i w każdej chwili zmienić ustawienia.</w:t>
      </w:r>
    </w:p>
    <w:p>
      <w:pPr>
        <w:widowControl/>
      </w:pPr>
      <w:r>
        <w:rPr>
          <w:rFonts w:ascii="Calibri" w:hAnsi="Calibri"/>
          <w:b/>
          <w:color w:val="000000"/>
          <w:sz w:val="22"/>
        </w:rPr>
        <w:t>Przyciski:</w:t>
      </w:r>
      <w:r>
        <w:rPr>
          <w:rFonts w:ascii="Calibri" w:hAnsi="Calibri"/>
          <w:color w:val="000000"/>
          <w:sz w:val="22"/>
        </w:rPr>
        <w:t xml:space="preserve"> „Odrzuć opcjonalne” | „Ustawienia” | „Akceptuję opcjonalne”</w:t>
      </w:r>
    </w:p>
    <w:p>
      <w:pPr>
        <w:widowControl/>
      </w:pPr>
      <w:r>
        <w:rPr>
          <w:rFonts w:ascii="Calibri" w:hAnsi="Calibri"/>
          <w:b/>
          <w:color w:val="000000"/>
          <w:sz w:val="22"/>
        </w:rPr>
        <w:t>Kategorie:</w:t>
      </w:r>
      <w:r>
        <w:rPr>
          <w:rFonts w:ascii="Calibri" w:hAnsi="Calibri"/>
          <w:color w:val="000000"/>
          <w:sz w:val="22"/>
        </w:rPr>
      </w:r>
    </w:p>
    <w:p>
      <w:pPr>
        <w:widowControl/>
        <w:numPr>
          <w:ilvl w:val="0"/>
          <w:numId w:val="41"/>
        </w:numPr>
      </w:pPr>
      <w:r>
        <w:rPr>
          <w:rFonts w:ascii="Calibri" w:hAnsi="Calibri"/>
          <w:color w:val="000000"/>
          <w:sz w:val="22"/>
        </w:rPr>
        <w:t>Niezbędne – zawsze aktywne; służą bezpieczeństwu, obsłudze formularza lub zapamiętaniu ustawień prywatności.</w:t>
      </w:r>
    </w:p>
    <w:p>
      <w:pPr>
        <w:widowControl/>
        <w:numPr>
          <w:ilvl w:val="0"/>
          <w:numId w:val="41"/>
        </w:numPr>
      </w:pPr>
      <w:r>
        <w:rPr>
          <w:rFonts w:ascii="Calibri" w:hAnsi="Calibri"/>
          <w:color w:val="000000"/>
          <w:sz w:val="22"/>
        </w:rPr>
        <w:t>Analityczne – domyślnie wyłączone, jeżeli wymagają zgody; służą wyłącznie podstawowym statystykom i ulepszaniu strony.</w:t>
      </w:r>
    </w:p>
    <w:p>
      <w:pPr>
        <w:widowControl/>
        <w:numPr>
          <w:ilvl w:val="0"/>
          <w:numId w:val="41"/>
        </w:numPr>
      </w:pPr>
      <w:r>
        <w:rPr>
          <w:rFonts w:ascii="Calibri" w:hAnsi="Calibri"/>
          <w:color w:val="000000"/>
          <w:sz w:val="22"/>
        </w:rPr>
        <w:t>Marketingowe – nieużywane.</w:t>
      </w:r>
    </w:p>
    <w:p>
      <w:pPr>
        <w:spacing w:before="160" w:after="200"/>
        <w:ind w:left="259" w:right="115"/>
        <w:widowControl/>
        <w:shd w:fill="EAF3FA"/>
      </w:pPr>
      <w:r>
        <w:rPr>
          <w:rFonts w:ascii="Calibri" w:hAnsi="Calibri"/>
          <w:b/>
          <w:color w:val="0B2545"/>
          <w:sz w:val="22"/>
        </w:rPr>
        <w:t xml:space="preserve">Jeżeli analityka jest bezcookiesowa.  </w:t>
      </w:r>
      <w:r>
        <w:rPr>
          <w:rFonts w:ascii="Calibri" w:hAnsi="Calibri"/>
          <w:color w:val="0B2545"/>
          <w:sz w:val="22"/>
        </w:rPr>
        <w:t>Gdy narzędzie nie zapisuje ani nie odczytuje informacji z urządzenia i nie stosuje identyfikatorów użytkownika, panel zgody może nie być potrzebny. Informacja o statystykach nadal powinna pozostać w polityce prywatności.</w:t>
      </w:r>
    </w:p>
    <w:p>
      <w:pPr>
        <w:pStyle w:val="Heading1"/>
        <w:keepNext/>
        <w:widowControl/>
      </w:pPr>
      <w:r>
        <w:t>C. Lista kontrolna przed publikacją</w:t>
      </w:r>
    </w:p>
    <w:p>
      <w:pPr>
        <w:widowControl/>
        <w:numPr>
          <w:ilvl w:val="0"/>
          <w:numId w:val="42"/>
        </w:numPr>
      </w:pPr>
      <w:r>
        <w:rPr>
          <w:rFonts w:ascii="Calibri" w:hAnsi="Calibri"/>
          <w:color w:val="000000"/>
          <w:sz w:val="22"/>
        </w:rPr>
        <w:t>Potwierdzić nazwę dostawcy hostingu, poczty i analityki oraz podpisać wymagane umowy powierzenia danych.</w:t>
      </w:r>
    </w:p>
    <w:p>
      <w:pPr>
        <w:widowControl/>
        <w:numPr>
          <w:ilvl w:val="0"/>
          <w:numId w:val="42"/>
        </w:numPr>
      </w:pPr>
      <w:r>
        <w:rPr>
          <w:rFonts w:ascii="Calibri" w:hAnsi="Calibri"/>
          <w:color w:val="000000"/>
          <w:sz w:val="22"/>
        </w:rPr>
        <w:t>Wybrać prywatnościowe narzędzie statystyczne bez cookies albo skonfigurować poprawny panel zgody przed uruchomieniem analityki.</w:t>
      </w:r>
    </w:p>
    <w:p>
      <w:pPr>
        <w:widowControl/>
        <w:numPr>
          <w:ilvl w:val="0"/>
          <w:numId w:val="42"/>
        </w:numPr>
      </w:pPr>
      <w:r>
        <w:rPr>
          <w:rFonts w:ascii="Calibri" w:hAnsi="Calibri"/>
          <w:color w:val="000000"/>
          <w:sz w:val="22"/>
        </w:rPr>
        <w:t>Sprawdzić, czy formularz nie wysyła danych do dodatkowych usług antyspamowych przed uzyskaniem wymaganej zgody.</w:t>
      </w:r>
    </w:p>
    <w:p>
      <w:pPr>
        <w:widowControl/>
        <w:numPr>
          <w:ilvl w:val="0"/>
          <w:numId w:val="42"/>
        </w:numPr>
      </w:pPr>
      <w:r>
        <w:rPr>
          <w:rFonts w:ascii="Calibri" w:hAnsi="Calibri"/>
          <w:color w:val="000000"/>
          <w:sz w:val="22"/>
        </w:rPr>
        <w:t>Nie osadzać pikseli, feedów ani wtyczek Facebooka lub TikToka; stosować zwykłe linki do profili.</w:t>
      </w:r>
    </w:p>
    <w:p>
      <w:pPr>
        <w:widowControl/>
        <w:numPr>
          <w:ilvl w:val="0"/>
          <w:numId w:val="42"/>
        </w:numPr>
      </w:pPr>
      <w:r>
        <w:rPr>
          <w:rFonts w:ascii="Calibri" w:hAnsi="Calibri"/>
          <w:color w:val="000000"/>
          <w:sz w:val="22"/>
        </w:rPr>
        <w:t>Włączyć HTTPS, ograniczyć dostęp do skrzynki formularza, aktualizować komponenty strony i wykonywać kopie zapasowe.</w:t>
      </w:r>
    </w:p>
    <w:p>
      <w:pPr>
        <w:widowControl/>
        <w:numPr>
          <w:ilvl w:val="0"/>
          <w:numId w:val="42"/>
        </w:numPr>
      </w:pPr>
      <w:r>
        <w:rPr>
          <w:rFonts w:ascii="Calibri" w:hAnsi="Calibri"/>
          <w:color w:val="000000"/>
          <w:sz w:val="22"/>
        </w:rPr>
        <w:t>Dodać odnośnik do polityki w stopce i przy formularzu oraz umożliwić ponowne otwarcie ustawień prywatności.</w:t>
      </w:r>
    </w:p>
    <w:p>
      <w:pPr>
        <w:widowControl/>
        <w:numPr>
          <w:ilvl w:val="0"/>
          <w:numId w:val="42"/>
        </w:numPr>
      </w:pPr>
      <w:r>
        <w:rPr>
          <w:rFonts w:ascii="Calibri" w:hAnsi="Calibri"/>
          <w:color w:val="000000"/>
          <w:sz w:val="22"/>
        </w:rPr>
        <w:t>Po każdej zmianie narzędzi, map, filmów, czatu, newslettera lub reklam sprawdzić i zaktualizować politykę.</w:t>
      </w:r>
    </w:p>
    <w:p>
      <w:pPr>
        <w:pStyle w:val="Heading1"/>
        <w:keepNext/>
        <w:widowControl/>
      </w:pPr>
      <w:r>
        <w:t>D. Podstawy prawne i źródła urzędowe</w:t>
      </w:r>
    </w:p>
    <w:p>
      <w:pPr>
        <w:widowControl/>
      </w:pPr>
      <w:r>
        <w:rPr>
          <w:rFonts w:ascii="Calibri" w:hAnsi="Calibri"/>
          <w:i w:val="0"/>
          <w:color w:val="000000"/>
          <w:sz w:val="22"/>
        </w:rPr>
        <w:t>Dokument opracowano na podstawie stanu prawnego i publicznych wytycznych dostępnych w dniu 30 sierpnia 2026 r.:</w:t>
      </w:r>
    </w:p>
    <w:p>
      <w:pPr>
        <w:widowControl/>
        <w:numPr>
          <w:ilvl w:val="0"/>
          <w:numId w:val="41"/>
        </w:numPr>
      </w:pPr>
      <w:hyperlink r:id="rId13">
        <w:r>
          <w:rPr>
            <w:rFonts w:ascii="Calibri" w:hAnsi="Calibri"/>
            <w:color w:val="2E74B5"/>
            <w:u w:val="single"/>
            <w:sz w:val="20"/>
          </w:rPr>
          <w:t>RODO – rozporządzenie (UE) 2016/679</w:t>
        </w:r>
      </w:hyperlink>
    </w:p>
    <w:p>
      <w:pPr>
        <w:widowControl/>
        <w:numPr>
          <w:ilvl w:val="0"/>
          <w:numId w:val="41"/>
        </w:numPr>
      </w:pPr>
      <w:hyperlink r:id="rId14">
        <w:r>
          <w:rPr>
            <w:rFonts w:ascii="Calibri" w:hAnsi="Calibri"/>
            <w:color w:val="2E74B5"/>
            <w:u w:val="single"/>
            <w:sz w:val="20"/>
          </w:rPr>
          <w:t>Prawo komunikacji elektronicznej – ustawa z 12 lipca 2024 r.</w:t>
        </w:r>
      </w:hyperlink>
    </w:p>
    <w:p>
      <w:pPr>
        <w:widowControl/>
        <w:numPr>
          <w:ilvl w:val="0"/>
          <w:numId w:val="41"/>
        </w:numPr>
      </w:pPr>
      <w:hyperlink r:id="rId15">
        <w:r>
          <w:rPr>
            <w:rFonts w:ascii="Calibri" w:hAnsi="Calibri"/>
            <w:color w:val="2E74B5"/>
            <w:u w:val="single"/>
            <w:sz w:val="20"/>
          </w:rPr>
          <w:t>Urząd Ochrony Danych Osobowych – prawa osób i kontakt</w:t>
        </w:r>
      </w:hyperlink>
    </w:p>
    <w:p>
      <w:pPr>
        <w:spacing w:before="160" w:after="200"/>
        <w:ind w:left="259" w:right="115"/>
        <w:widowControl/>
        <w:shd w:fill="EAF3FA"/>
      </w:pPr>
      <w:r>
        <w:rPr>
          <w:rFonts w:ascii="Calibri" w:hAnsi="Calibri"/>
          <w:b/>
          <w:color w:val="0B2545"/>
          <w:sz w:val="22"/>
        </w:rPr>
        <w:t xml:space="preserve">Charakter dokumentu.  </w:t>
      </w:r>
      <w:r>
        <w:rPr>
          <w:rFonts w:ascii="Calibri" w:hAnsi="Calibri"/>
          <w:color w:val="0B2545"/>
          <w:sz w:val="22"/>
        </w:rPr>
        <w:t>To praktyczny wzór przygotowany na podstawie przekazanych informacji. Przed publikacją należy potwierdzić rzeczywistą konfigurację hostingu, analityki, formularza i zabezpieczeń; dokument nie zastępuje indywidualnej porady prawnej.</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color w:val="596579"/>
        <w:sz w:val="18"/>
      </w:rPr>
      <w:t xml:space="preserve">Polityka prywatności  •  strona </w:t>
    </w:r>
    <w:r>
      <w:rPr>
        <w:rFonts w:ascii="Calibri" w:hAnsi="Calibri"/>
        <w:color w:val="596579"/>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96579"/>
        <w:sz w:val="18"/>
      </w:rPr>
      <w:t>SPEKTRA.net.pl  |  SECURITY SYSTEMS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41">
    <w:multiLevelType w:val="singleLevel"/>
    <w:lvl w:ilvl="0">
      <w:start w:val="1"/>
      <w:numFmt w:val="bullet"/>
      <w:lvlText w:val="•"/>
      <w:suff w:val="tab"/>
      <w:pPr>
        <w:tabs>
          <w:tab w:val="num" w:pos="720"/>
        </w:tabs>
        <w:ind w:left="720" w:hanging="360"/>
        <w:spacing w:after="160" w:line="280" w:lineRule="auto"/>
      </w:pPr>
    </w:lvl>
  </w:abstractNum>
  <w:num w:numId="41">
    <w:abstractNumId w:val="41"/>
  </w:num>
  <w:abstractNum w:abstractNumId="42">
    <w:multiLevelType w:val="singleLevel"/>
    <w:lvl w:ilvl="0">
      <w:start w:val="1"/>
      <w:numFmt w:val="decimal"/>
      <w:lvlText w:val="%1."/>
      <w:suff w:val="tab"/>
      <w:pPr>
        <w:tabs>
          <w:tab w:val="num" w:pos="720"/>
        </w:tabs>
        <w:ind w:left="720" w:hanging="360"/>
        <w:spacing w:after="160" w:line="280" w:lineRule="auto"/>
      </w:pPr>
    </w:lvl>
  </w:abstract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facebook.com/profile.php?id=100074863945220" TargetMode="External"/><Relationship Id="rId12" Type="http://schemas.openxmlformats.org/officeDocument/2006/relationships/hyperlink" Target="https://www.tiktok.com/@spektra_maciej_kocon?is_from_webapp=1&amp;sender_device=pc" TargetMode="External"/><Relationship Id="rId13" Type="http://schemas.openxmlformats.org/officeDocument/2006/relationships/hyperlink" Target="https://eur-lex.europa.eu/legal-content/PL/TXT/?uri=celex:32016R0679" TargetMode="External"/><Relationship Id="rId14" Type="http://schemas.openxmlformats.org/officeDocument/2006/relationships/hyperlink" Target="https://eli.gov.pl/eli/DU/2024/1221/ogl" TargetMode="External"/><Relationship Id="rId15" Type="http://schemas.openxmlformats.org/officeDocument/2006/relationships/hyperlink" Target="https://uodo.gov.pl/p/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Polityka prywatności serwisu spektra.net.pl</dc:title>
  <dc:subject>Polityka prywatności i materiały wdrożeniowe</dc:subject>
  <dc:creator>SPEKTRA Maciej Kocoń</dc:creator>
  <cp:keywords>SPEKTRA, polityka prywatności, RODO, cookies</cp:keywords>
  <dc:description>Wersja 1.0</dc:description>
  <cp:lastModifiedBy/>
  <cp:revision>1</cp:revision>
  <dcterms:created xsi:type="dcterms:W3CDTF">2013-12-23T23:15:00Z</dcterms:created>
  <dcterms:modified xsi:type="dcterms:W3CDTF">2013-12-23T23:15:00Z</dcterms:modified>
  <cp:category/>
</cp:coreProperties>
</file>